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2DD" w:rsidRDefault="00FF61C7" w:rsidP="0081727F">
      <w:pPr>
        <w:pStyle w:val="Title"/>
      </w:pPr>
      <w:r>
        <w:t>Common Taxable &amp; Non-Taxable Fringe Benefits</w:t>
      </w:r>
    </w:p>
    <w:p w:rsidR="00FF61C7" w:rsidRDefault="00FF61C7"/>
    <w:tbl>
      <w:tblPr>
        <w:tblStyle w:val="TableGrid"/>
        <w:tblW w:w="0" w:type="auto"/>
        <w:tblCellMar>
          <w:left w:w="0" w:type="dxa"/>
          <w:right w:w="0" w:type="dxa"/>
        </w:tblCellMar>
        <w:tblLook w:val="04A0" w:firstRow="1" w:lastRow="0" w:firstColumn="1" w:lastColumn="0" w:noHBand="0" w:noVBand="1"/>
      </w:tblPr>
      <w:tblGrid>
        <w:gridCol w:w="4595"/>
        <w:gridCol w:w="1107"/>
        <w:gridCol w:w="1260"/>
        <w:gridCol w:w="5881"/>
      </w:tblGrid>
      <w:tr w:rsidR="00FF61C7" w:rsidTr="00AF7DA0">
        <w:tc>
          <w:tcPr>
            <w:tcW w:w="4595" w:type="dxa"/>
          </w:tcPr>
          <w:p w:rsidR="00FF61C7" w:rsidRPr="00AF7DA0" w:rsidRDefault="00FF61C7" w:rsidP="002268D9">
            <w:pPr>
              <w:ind w:left="144" w:right="0"/>
              <w:jc w:val="center"/>
              <w:rPr>
                <w:b/>
                <w:sz w:val="28"/>
                <w:szCs w:val="28"/>
              </w:rPr>
            </w:pPr>
          </w:p>
          <w:p w:rsidR="00FF61C7" w:rsidRPr="00AF7DA0" w:rsidRDefault="00FF61C7" w:rsidP="002268D9">
            <w:pPr>
              <w:ind w:left="144" w:right="0"/>
              <w:jc w:val="center"/>
              <w:rPr>
                <w:b/>
                <w:sz w:val="28"/>
                <w:szCs w:val="28"/>
              </w:rPr>
            </w:pPr>
            <w:r w:rsidRPr="00AF7DA0">
              <w:rPr>
                <w:b/>
                <w:sz w:val="28"/>
                <w:szCs w:val="28"/>
              </w:rPr>
              <w:t>Fringe Benefit</w:t>
            </w:r>
          </w:p>
        </w:tc>
        <w:tc>
          <w:tcPr>
            <w:tcW w:w="1107" w:type="dxa"/>
          </w:tcPr>
          <w:p w:rsidR="00FF61C7" w:rsidRPr="00AF7DA0" w:rsidRDefault="00FF61C7" w:rsidP="008A3083">
            <w:pPr>
              <w:ind w:left="0" w:right="0"/>
              <w:jc w:val="center"/>
              <w:rPr>
                <w:b/>
                <w:sz w:val="28"/>
                <w:szCs w:val="28"/>
              </w:rPr>
            </w:pPr>
          </w:p>
          <w:p w:rsidR="00FF61C7" w:rsidRPr="00AF7DA0" w:rsidRDefault="00FF61C7" w:rsidP="008A3083">
            <w:pPr>
              <w:ind w:left="0" w:right="0"/>
              <w:jc w:val="center"/>
              <w:rPr>
                <w:b/>
                <w:sz w:val="28"/>
                <w:szCs w:val="28"/>
              </w:rPr>
            </w:pPr>
            <w:r w:rsidRPr="00AF7DA0">
              <w:rPr>
                <w:b/>
                <w:sz w:val="28"/>
                <w:szCs w:val="28"/>
              </w:rPr>
              <w:t>Taxable</w:t>
            </w:r>
          </w:p>
        </w:tc>
        <w:tc>
          <w:tcPr>
            <w:tcW w:w="1260" w:type="dxa"/>
          </w:tcPr>
          <w:p w:rsidR="00FF61C7" w:rsidRPr="00AF7DA0" w:rsidRDefault="00FF61C7" w:rsidP="008A3083">
            <w:pPr>
              <w:ind w:left="0" w:right="0"/>
              <w:jc w:val="center"/>
              <w:rPr>
                <w:b/>
                <w:sz w:val="28"/>
                <w:szCs w:val="28"/>
              </w:rPr>
            </w:pPr>
            <w:r w:rsidRPr="00AF7DA0">
              <w:rPr>
                <w:b/>
                <w:sz w:val="28"/>
                <w:szCs w:val="28"/>
              </w:rPr>
              <w:t>Non</w:t>
            </w:r>
          </w:p>
          <w:p w:rsidR="00FF61C7" w:rsidRPr="00AF7DA0" w:rsidRDefault="00486587" w:rsidP="008A3083">
            <w:pPr>
              <w:ind w:left="0" w:right="0"/>
              <w:jc w:val="center"/>
              <w:rPr>
                <w:b/>
                <w:sz w:val="28"/>
                <w:szCs w:val="28"/>
              </w:rPr>
            </w:pPr>
            <w:r>
              <w:rPr>
                <w:b/>
                <w:sz w:val="28"/>
                <w:szCs w:val="28"/>
              </w:rPr>
              <w:t>T</w:t>
            </w:r>
            <w:r w:rsidR="00FF61C7" w:rsidRPr="00AF7DA0">
              <w:rPr>
                <w:b/>
                <w:sz w:val="28"/>
                <w:szCs w:val="28"/>
              </w:rPr>
              <w:t>axable</w:t>
            </w:r>
          </w:p>
        </w:tc>
        <w:tc>
          <w:tcPr>
            <w:tcW w:w="5881" w:type="dxa"/>
          </w:tcPr>
          <w:p w:rsidR="00FF61C7" w:rsidRPr="00AF7DA0" w:rsidRDefault="00FF61C7" w:rsidP="002268D9">
            <w:pPr>
              <w:ind w:left="144" w:right="0"/>
              <w:jc w:val="center"/>
              <w:rPr>
                <w:b/>
                <w:sz w:val="28"/>
                <w:szCs w:val="28"/>
              </w:rPr>
            </w:pPr>
          </w:p>
          <w:p w:rsidR="00FF61C7" w:rsidRPr="00AF7DA0" w:rsidRDefault="00FF61C7" w:rsidP="002268D9">
            <w:pPr>
              <w:ind w:left="144" w:right="0"/>
              <w:jc w:val="center"/>
              <w:rPr>
                <w:b/>
                <w:sz w:val="28"/>
                <w:szCs w:val="28"/>
              </w:rPr>
            </w:pPr>
            <w:r w:rsidRPr="00AF7DA0">
              <w:rPr>
                <w:b/>
                <w:sz w:val="28"/>
                <w:szCs w:val="28"/>
              </w:rPr>
              <w:t>Notes</w:t>
            </w:r>
          </w:p>
        </w:tc>
      </w:tr>
      <w:tr w:rsidR="00FF61C7" w:rsidTr="00AF7DA0">
        <w:tc>
          <w:tcPr>
            <w:tcW w:w="4595" w:type="dxa"/>
          </w:tcPr>
          <w:p w:rsidR="00FF61C7" w:rsidRDefault="00FF61C7" w:rsidP="002268D9">
            <w:pPr>
              <w:ind w:left="144" w:right="0"/>
            </w:pPr>
            <w:r>
              <w:t>Employer Provided Cell Phone for business purposes</w:t>
            </w:r>
          </w:p>
        </w:tc>
        <w:tc>
          <w:tcPr>
            <w:tcW w:w="1107" w:type="dxa"/>
          </w:tcPr>
          <w:p w:rsidR="00FF61C7" w:rsidRDefault="00FF61C7" w:rsidP="008A3083">
            <w:pPr>
              <w:ind w:left="0" w:right="0"/>
              <w:jc w:val="center"/>
            </w:pPr>
          </w:p>
        </w:tc>
        <w:tc>
          <w:tcPr>
            <w:tcW w:w="1260" w:type="dxa"/>
          </w:tcPr>
          <w:p w:rsidR="00FF61C7" w:rsidRDefault="00FF61C7" w:rsidP="008A3083">
            <w:pPr>
              <w:ind w:left="0" w:right="0"/>
              <w:jc w:val="center"/>
            </w:pPr>
            <w:r>
              <w:t>X</w:t>
            </w:r>
          </w:p>
        </w:tc>
        <w:tc>
          <w:tcPr>
            <w:tcW w:w="5881" w:type="dxa"/>
          </w:tcPr>
          <w:p w:rsidR="00FF61C7" w:rsidRDefault="005204BB" w:rsidP="005204BB">
            <w:pPr>
              <w:ind w:left="144" w:right="0"/>
            </w:pPr>
            <w:r>
              <w:t>Even p</w:t>
            </w:r>
            <w:r w:rsidR="002268D9">
              <w:t>ersonal use is not taxed as it is considered De Minimis.</w:t>
            </w:r>
          </w:p>
        </w:tc>
      </w:tr>
      <w:tr w:rsidR="00FF61C7" w:rsidTr="00AF7DA0">
        <w:tc>
          <w:tcPr>
            <w:tcW w:w="4595" w:type="dxa"/>
          </w:tcPr>
          <w:p w:rsidR="00FF61C7" w:rsidRDefault="002268D9" w:rsidP="002268D9">
            <w:pPr>
              <w:ind w:left="144" w:right="0"/>
            </w:pPr>
            <w:r>
              <w:t>Cell phones provided to promote goodwill or attract prospective employees</w:t>
            </w:r>
          </w:p>
        </w:tc>
        <w:tc>
          <w:tcPr>
            <w:tcW w:w="1107" w:type="dxa"/>
          </w:tcPr>
          <w:p w:rsidR="00FF61C7" w:rsidRDefault="002268D9" w:rsidP="008A3083">
            <w:pPr>
              <w:ind w:left="0" w:right="0"/>
              <w:jc w:val="center"/>
            </w:pPr>
            <w:r>
              <w:t>X</w:t>
            </w:r>
          </w:p>
        </w:tc>
        <w:tc>
          <w:tcPr>
            <w:tcW w:w="1260" w:type="dxa"/>
          </w:tcPr>
          <w:p w:rsidR="00FF61C7" w:rsidRDefault="00FF61C7" w:rsidP="008A3083">
            <w:pPr>
              <w:ind w:left="0" w:right="0"/>
              <w:jc w:val="center"/>
            </w:pPr>
          </w:p>
        </w:tc>
        <w:tc>
          <w:tcPr>
            <w:tcW w:w="5881" w:type="dxa"/>
          </w:tcPr>
          <w:p w:rsidR="00FF61C7" w:rsidRDefault="00FF61C7" w:rsidP="002268D9">
            <w:pPr>
              <w:ind w:left="144" w:right="0"/>
            </w:pPr>
          </w:p>
        </w:tc>
      </w:tr>
      <w:tr w:rsidR="00FF61C7" w:rsidTr="00AF7DA0">
        <w:tc>
          <w:tcPr>
            <w:tcW w:w="4595" w:type="dxa"/>
          </w:tcPr>
          <w:p w:rsidR="00FF61C7" w:rsidRDefault="002268D9" w:rsidP="002268D9">
            <w:pPr>
              <w:ind w:left="144" w:right="0"/>
            </w:pPr>
            <w:r>
              <w:t>Group-term life insurance</w:t>
            </w:r>
          </w:p>
        </w:tc>
        <w:tc>
          <w:tcPr>
            <w:tcW w:w="1107" w:type="dxa"/>
          </w:tcPr>
          <w:p w:rsidR="00FF61C7" w:rsidRDefault="00FF61C7" w:rsidP="008A3083">
            <w:pPr>
              <w:ind w:left="0" w:right="0"/>
              <w:jc w:val="center"/>
            </w:pPr>
          </w:p>
        </w:tc>
        <w:tc>
          <w:tcPr>
            <w:tcW w:w="1260" w:type="dxa"/>
          </w:tcPr>
          <w:p w:rsidR="00FF61C7" w:rsidRDefault="002268D9" w:rsidP="008A3083">
            <w:pPr>
              <w:ind w:left="0" w:right="0"/>
              <w:jc w:val="center"/>
            </w:pPr>
            <w:r>
              <w:t>X</w:t>
            </w:r>
          </w:p>
        </w:tc>
        <w:tc>
          <w:tcPr>
            <w:tcW w:w="5881" w:type="dxa"/>
          </w:tcPr>
          <w:p w:rsidR="00FF61C7" w:rsidRDefault="002268D9" w:rsidP="002268D9">
            <w:pPr>
              <w:ind w:left="144" w:right="0"/>
            </w:pPr>
            <w:r>
              <w:t>Unless the insurance is provided to less than 10 employees</w:t>
            </w:r>
          </w:p>
        </w:tc>
      </w:tr>
      <w:tr w:rsidR="00FF61C7" w:rsidTr="00AF7DA0">
        <w:tc>
          <w:tcPr>
            <w:tcW w:w="4595" w:type="dxa"/>
          </w:tcPr>
          <w:p w:rsidR="00FF61C7" w:rsidRDefault="002268D9" w:rsidP="002268D9">
            <w:pPr>
              <w:ind w:left="144" w:right="0"/>
            </w:pPr>
            <w:r>
              <w:t>Employer contributions to Health Saving Accounts</w:t>
            </w:r>
          </w:p>
        </w:tc>
        <w:tc>
          <w:tcPr>
            <w:tcW w:w="1107" w:type="dxa"/>
          </w:tcPr>
          <w:p w:rsidR="00FF61C7" w:rsidRDefault="00FF61C7" w:rsidP="008A3083">
            <w:pPr>
              <w:ind w:left="0" w:right="0"/>
              <w:jc w:val="center"/>
            </w:pPr>
          </w:p>
        </w:tc>
        <w:tc>
          <w:tcPr>
            <w:tcW w:w="1260" w:type="dxa"/>
          </w:tcPr>
          <w:p w:rsidR="00FF61C7" w:rsidRDefault="002268D9" w:rsidP="008A3083">
            <w:pPr>
              <w:ind w:left="0" w:right="0"/>
              <w:jc w:val="center"/>
            </w:pPr>
            <w:r>
              <w:t xml:space="preserve">X </w:t>
            </w:r>
          </w:p>
        </w:tc>
        <w:tc>
          <w:tcPr>
            <w:tcW w:w="5881" w:type="dxa"/>
          </w:tcPr>
          <w:p w:rsidR="00FF61C7" w:rsidRDefault="002268D9" w:rsidP="00FF02DD">
            <w:pPr>
              <w:ind w:left="144" w:right="0"/>
            </w:pPr>
            <w:r>
              <w:t>Up to $3</w:t>
            </w:r>
            <w:r w:rsidR="00FF02DD">
              <w:t>25</w:t>
            </w:r>
            <w:r>
              <w:t>0 on single person coverage; Up to $</w:t>
            </w:r>
            <w:r w:rsidR="00FF02DD">
              <w:t>64</w:t>
            </w:r>
            <w:r>
              <w:t>50 on family coverage.  Amounts over these limits are taxable.</w:t>
            </w:r>
          </w:p>
        </w:tc>
      </w:tr>
      <w:tr w:rsidR="00FF61C7" w:rsidTr="00AF7DA0">
        <w:tc>
          <w:tcPr>
            <w:tcW w:w="4595" w:type="dxa"/>
          </w:tcPr>
          <w:p w:rsidR="00FF61C7" w:rsidRDefault="002268D9" w:rsidP="002268D9">
            <w:pPr>
              <w:ind w:left="144" w:right="0"/>
            </w:pPr>
            <w:r>
              <w:t>Lodging</w:t>
            </w:r>
          </w:p>
        </w:tc>
        <w:tc>
          <w:tcPr>
            <w:tcW w:w="1107" w:type="dxa"/>
          </w:tcPr>
          <w:p w:rsidR="00FF61C7" w:rsidRDefault="00FF61C7" w:rsidP="008A3083">
            <w:pPr>
              <w:ind w:left="0" w:right="0"/>
              <w:jc w:val="center"/>
            </w:pPr>
          </w:p>
        </w:tc>
        <w:tc>
          <w:tcPr>
            <w:tcW w:w="1260" w:type="dxa"/>
          </w:tcPr>
          <w:p w:rsidR="00FF61C7" w:rsidRDefault="002268D9" w:rsidP="008A3083">
            <w:pPr>
              <w:ind w:left="0" w:right="0"/>
              <w:jc w:val="center"/>
            </w:pPr>
            <w:r>
              <w:t>X</w:t>
            </w:r>
          </w:p>
        </w:tc>
        <w:tc>
          <w:tcPr>
            <w:tcW w:w="5881" w:type="dxa"/>
          </w:tcPr>
          <w:p w:rsidR="00FF61C7" w:rsidRDefault="002268D9" w:rsidP="002268D9">
            <w:pPr>
              <w:ind w:left="144" w:right="0"/>
            </w:pPr>
            <w:r>
              <w:t>If provided for the benefit of the employer</w:t>
            </w:r>
          </w:p>
        </w:tc>
      </w:tr>
      <w:tr w:rsidR="00FF61C7" w:rsidTr="00AF7DA0">
        <w:tc>
          <w:tcPr>
            <w:tcW w:w="4595" w:type="dxa"/>
          </w:tcPr>
          <w:p w:rsidR="00FF61C7" w:rsidRDefault="002268D9" w:rsidP="002268D9">
            <w:pPr>
              <w:ind w:left="144" w:right="0"/>
            </w:pPr>
            <w:r>
              <w:t>De Minimis Meals</w:t>
            </w:r>
          </w:p>
        </w:tc>
        <w:tc>
          <w:tcPr>
            <w:tcW w:w="1107" w:type="dxa"/>
          </w:tcPr>
          <w:p w:rsidR="00FF61C7" w:rsidRDefault="00FF61C7" w:rsidP="008A3083">
            <w:pPr>
              <w:ind w:left="0" w:right="0"/>
              <w:jc w:val="center"/>
            </w:pPr>
          </w:p>
        </w:tc>
        <w:tc>
          <w:tcPr>
            <w:tcW w:w="1260" w:type="dxa"/>
          </w:tcPr>
          <w:p w:rsidR="00FF61C7" w:rsidRDefault="002268D9" w:rsidP="008A3083">
            <w:pPr>
              <w:ind w:left="0" w:right="0"/>
              <w:jc w:val="center"/>
            </w:pPr>
            <w:r>
              <w:t>X</w:t>
            </w:r>
          </w:p>
        </w:tc>
        <w:tc>
          <w:tcPr>
            <w:tcW w:w="5881" w:type="dxa"/>
          </w:tcPr>
          <w:p w:rsidR="00FF61C7" w:rsidRDefault="002268D9" w:rsidP="002268D9">
            <w:pPr>
              <w:ind w:left="144" w:right="0"/>
            </w:pPr>
            <w:r>
              <w:t xml:space="preserve">These are occasional or of little value.  </w:t>
            </w:r>
            <w:proofErr w:type="spellStart"/>
            <w:r>
              <w:t>Ie</w:t>
            </w:r>
            <w:proofErr w:type="spellEnd"/>
            <w:r>
              <w:t xml:space="preserve"> coffee, </w:t>
            </w:r>
            <w:r w:rsidR="00681D98">
              <w:t>employee parties or picnics, etc…</w:t>
            </w:r>
          </w:p>
        </w:tc>
      </w:tr>
      <w:tr w:rsidR="00681D98" w:rsidTr="00AF7DA0">
        <w:tc>
          <w:tcPr>
            <w:tcW w:w="4595" w:type="dxa"/>
          </w:tcPr>
          <w:p w:rsidR="00681D98" w:rsidRDefault="00681D98" w:rsidP="002268D9">
            <w:pPr>
              <w:ind w:left="144" w:right="0"/>
            </w:pPr>
            <w:r>
              <w:t>Meals provided at work</w:t>
            </w:r>
          </w:p>
        </w:tc>
        <w:tc>
          <w:tcPr>
            <w:tcW w:w="1107" w:type="dxa"/>
          </w:tcPr>
          <w:p w:rsidR="00681D98" w:rsidRDefault="00681D98" w:rsidP="008A3083">
            <w:pPr>
              <w:ind w:left="0" w:right="0"/>
              <w:jc w:val="center"/>
            </w:pPr>
          </w:p>
        </w:tc>
        <w:tc>
          <w:tcPr>
            <w:tcW w:w="1260" w:type="dxa"/>
          </w:tcPr>
          <w:p w:rsidR="00681D98" w:rsidRDefault="00681D98" w:rsidP="008A3083">
            <w:pPr>
              <w:ind w:left="0" w:right="0"/>
              <w:jc w:val="center"/>
            </w:pPr>
            <w:r>
              <w:t>X</w:t>
            </w:r>
          </w:p>
        </w:tc>
        <w:tc>
          <w:tcPr>
            <w:tcW w:w="5881" w:type="dxa"/>
          </w:tcPr>
          <w:p w:rsidR="00681D98" w:rsidRDefault="00681D98" w:rsidP="002268D9">
            <w:pPr>
              <w:ind w:left="144" w:right="0"/>
            </w:pPr>
            <w:r>
              <w:t>If provided for the benefit of the employer</w:t>
            </w:r>
          </w:p>
        </w:tc>
      </w:tr>
      <w:tr w:rsidR="00681D98" w:rsidTr="00AF7DA0">
        <w:tc>
          <w:tcPr>
            <w:tcW w:w="4595" w:type="dxa"/>
          </w:tcPr>
          <w:p w:rsidR="00681D98" w:rsidRDefault="00681D98" w:rsidP="002268D9">
            <w:pPr>
              <w:ind w:left="144" w:right="0"/>
            </w:pPr>
            <w:r>
              <w:t>Meals furnished with lodging</w:t>
            </w:r>
          </w:p>
        </w:tc>
        <w:tc>
          <w:tcPr>
            <w:tcW w:w="1107" w:type="dxa"/>
          </w:tcPr>
          <w:p w:rsidR="00681D98" w:rsidRDefault="00681D98" w:rsidP="008A3083">
            <w:pPr>
              <w:ind w:left="0" w:right="0"/>
              <w:jc w:val="center"/>
            </w:pPr>
          </w:p>
        </w:tc>
        <w:tc>
          <w:tcPr>
            <w:tcW w:w="1260" w:type="dxa"/>
          </w:tcPr>
          <w:p w:rsidR="00681D98" w:rsidRDefault="00681D98" w:rsidP="008A3083">
            <w:pPr>
              <w:ind w:left="0" w:right="0"/>
              <w:jc w:val="center"/>
            </w:pPr>
            <w:r>
              <w:t>X</w:t>
            </w:r>
          </w:p>
        </w:tc>
        <w:tc>
          <w:tcPr>
            <w:tcW w:w="5881" w:type="dxa"/>
          </w:tcPr>
          <w:p w:rsidR="00681D98" w:rsidRDefault="00681D98" w:rsidP="00681D98">
            <w:pPr>
              <w:ind w:left="144" w:right="0"/>
            </w:pPr>
            <w:r>
              <w:t>Example: meals/reimbursement provided during a conference</w:t>
            </w:r>
          </w:p>
        </w:tc>
      </w:tr>
      <w:tr w:rsidR="00681D98" w:rsidTr="00AF7DA0">
        <w:tc>
          <w:tcPr>
            <w:tcW w:w="4595" w:type="dxa"/>
          </w:tcPr>
          <w:p w:rsidR="00681D98" w:rsidRDefault="00681D98" w:rsidP="002268D9">
            <w:pPr>
              <w:ind w:left="144" w:right="0"/>
            </w:pPr>
            <w:r>
              <w:t>Meals during regular business hours without lodging required</w:t>
            </w:r>
          </w:p>
        </w:tc>
        <w:tc>
          <w:tcPr>
            <w:tcW w:w="1107" w:type="dxa"/>
          </w:tcPr>
          <w:p w:rsidR="00681D98" w:rsidRDefault="00681D98" w:rsidP="008A3083">
            <w:pPr>
              <w:ind w:left="0" w:right="0"/>
              <w:jc w:val="center"/>
            </w:pPr>
            <w:r>
              <w:t>X</w:t>
            </w:r>
          </w:p>
        </w:tc>
        <w:tc>
          <w:tcPr>
            <w:tcW w:w="1260" w:type="dxa"/>
          </w:tcPr>
          <w:p w:rsidR="00681D98" w:rsidRDefault="00681D98" w:rsidP="008A3083">
            <w:pPr>
              <w:ind w:left="0" w:right="0"/>
              <w:jc w:val="center"/>
            </w:pPr>
          </w:p>
        </w:tc>
        <w:tc>
          <w:tcPr>
            <w:tcW w:w="5881" w:type="dxa"/>
          </w:tcPr>
          <w:p w:rsidR="00681D98" w:rsidRDefault="00681D98" w:rsidP="002268D9">
            <w:pPr>
              <w:ind w:left="144" w:right="0"/>
            </w:pPr>
            <w:r>
              <w:t>Example: meals/reimbursement provided during a one-day workshop at Region 14.</w:t>
            </w:r>
          </w:p>
        </w:tc>
      </w:tr>
      <w:tr w:rsidR="00681D98" w:rsidTr="00AF7DA0">
        <w:tc>
          <w:tcPr>
            <w:tcW w:w="4595" w:type="dxa"/>
          </w:tcPr>
          <w:p w:rsidR="005204BB" w:rsidRDefault="005204BB" w:rsidP="002268D9">
            <w:pPr>
              <w:ind w:left="144" w:right="0"/>
            </w:pPr>
          </w:p>
          <w:p w:rsidR="00681D98" w:rsidRDefault="00681D98" w:rsidP="002268D9">
            <w:pPr>
              <w:ind w:left="144" w:right="0"/>
            </w:pPr>
            <w:r>
              <w:t>Moving expenses</w:t>
            </w:r>
          </w:p>
        </w:tc>
        <w:tc>
          <w:tcPr>
            <w:tcW w:w="1107" w:type="dxa"/>
          </w:tcPr>
          <w:p w:rsidR="00681D98" w:rsidRDefault="00681D98" w:rsidP="008A3083">
            <w:pPr>
              <w:ind w:left="0" w:right="0"/>
              <w:jc w:val="center"/>
            </w:pPr>
            <w:r>
              <w:t>X</w:t>
            </w:r>
          </w:p>
        </w:tc>
        <w:tc>
          <w:tcPr>
            <w:tcW w:w="1260" w:type="dxa"/>
          </w:tcPr>
          <w:p w:rsidR="00681D98" w:rsidRDefault="00681D98" w:rsidP="008A3083">
            <w:pPr>
              <w:ind w:left="0" w:right="0"/>
              <w:jc w:val="center"/>
            </w:pPr>
          </w:p>
        </w:tc>
        <w:tc>
          <w:tcPr>
            <w:tcW w:w="5881" w:type="dxa"/>
          </w:tcPr>
          <w:p w:rsidR="00681D98" w:rsidRDefault="00681D98" w:rsidP="002268D9">
            <w:pPr>
              <w:ind w:left="144" w:right="0"/>
            </w:pPr>
            <w:r>
              <w:t>Example: part of plan to get new Supt includes providing moving expenses.  Includes any expenses during the move such as lodging and or meals provided.</w:t>
            </w:r>
          </w:p>
        </w:tc>
      </w:tr>
      <w:tr w:rsidR="008A3083" w:rsidTr="00AF7DA0">
        <w:tc>
          <w:tcPr>
            <w:tcW w:w="4595" w:type="dxa"/>
          </w:tcPr>
          <w:p w:rsidR="008A3083" w:rsidRDefault="008A3083" w:rsidP="00C82B21">
            <w:pPr>
              <w:ind w:left="144" w:right="0"/>
            </w:pPr>
            <w:r>
              <w:t xml:space="preserve">Driving a </w:t>
            </w:r>
            <w:r w:rsidR="00C82B21">
              <w:t xml:space="preserve">non-personal use, </w:t>
            </w:r>
            <w:r>
              <w:t>school vehicle</w:t>
            </w:r>
            <w:r w:rsidR="00C82B21">
              <w:t xml:space="preserve"> </w:t>
            </w:r>
            <w:r>
              <w:t>for personal travel such as traveling back and forth from work</w:t>
            </w:r>
            <w:r w:rsidR="00C82B21">
              <w:t xml:space="preserve"> (school bus, specialized vehicles, vehicles clearly marked as safety vehicles such as security vehicles)</w:t>
            </w:r>
          </w:p>
        </w:tc>
        <w:tc>
          <w:tcPr>
            <w:tcW w:w="1107" w:type="dxa"/>
          </w:tcPr>
          <w:p w:rsidR="008A3083" w:rsidRDefault="005204BB" w:rsidP="008A3083">
            <w:pPr>
              <w:ind w:left="0" w:right="0"/>
              <w:jc w:val="center"/>
            </w:pPr>
            <w:r>
              <w:t>X</w:t>
            </w:r>
          </w:p>
        </w:tc>
        <w:tc>
          <w:tcPr>
            <w:tcW w:w="1260" w:type="dxa"/>
          </w:tcPr>
          <w:p w:rsidR="008A3083" w:rsidRDefault="008A3083" w:rsidP="008A3083">
            <w:pPr>
              <w:ind w:left="0" w:right="0"/>
              <w:jc w:val="center"/>
            </w:pPr>
          </w:p>
        </w:tc>
        <w:tc>
          <w:tcPr>
            <w:tcW w:w="5881" w:type="dxa"/>
          </w:tcPr>
          <w:p w:rsidR="008A3083" w:rsidRDefault="008A3083" w:rsidP="002268D9">
            <w:pPr>
              <w:ind w:left="144" w:right="0"/>
            </w:pPr>
            <w:r>
              <w:t xml:space="preserve">Unless De Minimis (occasional and short distance.) Taxable amount can be calculated using the Cents-Per-Mile or Commuting Rule.  </w:t>
            </w:r>
            <w:r w:rsidRPr="00C82B21">
              <w:rPr>
                <w:b/>
                <w:color w:val="7030A0"/>
              </w:rPr>
              <w:t>See Note below*</w:t>
            </w:r>
          </w:p>
        </w:tc>
      </w:tr>
      <w:tr w:rsidR="008A3083" w:rsidTr="00AF7DA0">
        <w:tc>
          <w:tcPr>
            <w:tcW w:w="4595" w:type="dxa"/>
          </w:tcPr>
          <w:p w:rsidR="005204BB" w:rsidRDefault="005204BB" w:rsidP="002268D9">
            <w:pPr>
              <w:ind w:left="144" w:right="0"/>
            </w:pPr>
          </w:p>
          <w:p w:rsidR="008A3083" w:rsidRDefault="00C82B21" w:rsidP="002268D9">
            <w:pPr>
              <w:ind w:left="144" w:right="0"/>
            </w:pPr>
            <w:r>
              <w:t>Employer provided vehicles</w:t>
            </w:r>
          </w:p>
        </w:tc>
        <w:tc>
          <w:tcPr>
            <w:tcW w:w="1107" w:type="dxa"/>
          </w:tcPr>
          <w:p w:rsidR="008A3083" w:rsidRDefault="005204BB" w:rsidP="008A3083">
            <w:pPr>
              <w:ind w:left="0" w:right="0"/>
              <w:jc w:val="center"/>
            </w:pPr>
            <w:r>
              <w:t>X</w:t>
            </w:r>
          </w:p>
        </w:tc>
        <w:tc>
          <w:tcPr>
            <w:tcW w:w="1260" w:type="dxa"/>
          </w:tcPr>
          <w:p w:rsidR="008A3083" w:rsidRDefault="008A3083" w:rsidP="008A3083">
            <w:pPr>
              <w:ind w:left="0" w:right="0"/>
              <w:jc w:val="center"/>
            </w:pPr>
          </w:p>
        </w:tc>
        <w:tc>
          <w:tcPr>
            <w:tcW w:w="5881" w:type="dxa"/>
          </w:tcPr>
          <w:p w:rsidR="008A3083" w:rsidRDefault="00C82B21" w:rsidP="00C82B21">
            <w:pPr>
              <w:ind w:left="144" w:right="0"/>
            </w:pPr>
            <w:r>
              <w:t>The Fair Market Value (amount the employee would have to pay a third party to lease the same or similar vehicle</w:t>
            </w:r>
            <w:r w:rsidR="0081727F">
              <w:t xml:space="preserve"> in your geographic area) is used.  Employee must pay taxes on that amount.</w:t>
            </w:r>
          </w:p>
        </w:tc>
      </w:tr>
    </w:tbl>
    <w:p w:rsidR="00FF61C7" w:rsidRDefault="00FF61C7"/>
    <w:p w:rsidR="007A10ED" w:rsidRPr="00C82B21" w:rsidRDefault="00C82B21">
      <w:pPr>
        <w:rPr>
          <w:b/>
          <w:color w:val="7030A0"/>
        </w:rPr>
      </w:pPr>
      <w:r w:rsidRPr="00C82B21">
        <w:rPr>
          <w:b/>
          <w:color w:val="7030A0"/>
        </w:rPr>
        <w:t>*</w:t>
      </w:r>
      <w:r w:rsidR="007A10ED" w:rsidRPr="00C82B21">
        <w:rPr>
          <w:b/>
          <w:color w:val="7030A0"/>
        </w:rPr>
        <w:t xml:space="preserve">Note:  </w:t>
      </w:r>
      <w:r w:rsidR="007A10ED" w:rsidRPr="00C82B21">
        <w:rPr>
          <w:b/>
          <w:color w:val="7030A0"/>
          <w:u w:val="single"/>
        </w:rPr>
        <w:t>Cents-Per-Mile Rule</w:t>
      </w:r>
      <w:r w:rsidR="007A10ED" w:rsidRPr="00C82B21">
        <w:rPr>
          <w:b/>
          <w:color w:val="7030A0"/>
        </w:rPr>
        <w:t>:  5</w:t>
      </w:r>
      <w:r w:rsidR="00571E97">
        <w:rPr>
          <w:b/>
          <w:color w:val="7030A0"/>
        </w:rPr>
        <w:t>6</w:t>
      </w:r>
      <w:r w:rsidR="007A10ED" w:rsidRPr="00C82B21">
        <w:rPr>
          <w:b/>
          <w:color w:val="7030A0"/>
        </w:rPr>
        <w:t>.5 cent</w:t>
      </w:r>
      <w:r w:rsidR="00571E97">
        <w:rPr>
          <w:b/>
          <w:color w:val="7030A0"/>
        </w:rPr>
        <w:t>s</w:t>
      </w:r>
      <w:r w:rsidR="007A10ED" w:rsidRPr="00C82B21">
        <w:rPr>
          <w:b/>
          <w:color w:val="7030A0"/>
        </w:rPr>
        <w:t xml:space="preserve"> per mile driven.  This rule may only be available if the Fair Market Value, the first time the vehicle was made available does not exceed $15,</w:t>
      </w:r>
      <w:r w:rsidR="00571E97">
        <w:rPr>
          <w:b/>
          <w:color w:val="7030A0"/>
        </w:rPr>
        <w:t>9</w:t>
      </w:r>
      <w:r w:rsidR="007A10ED" w:rsidRPr="00C82B21">
        <w:rPr>
          <w:b/>
          <w:color w:val="7030A0"/>
        </w:rPr>
        <w:t>00 for passenger vehicles or $16,</w:t>
      </w:r>
      <w:r w:rsidR="00571E97">
        <w:rPr>
          <w:b/>
          <w:color w:val="7030A0"/>
        </w:rPr>
        <w:t>7</w:t>
      </w:r>
      <w:r w:rsidR="007A10ED" w:rsidRPr="00C82B21">
        <w:rPr>
          <w:b/>
          <w:color w:val="7030A0"/>
        </w:rPr>
        <w:t>00 for a truck or van.</w:t>
      </w:r>
    </w:p>
    <w:p w:rsidR="007A10ED" w:rsidRDefault="007A10ED">
      <w:pPr>
        <w:rPr>
          <w:b/>
          <w:color w:val="7030A0"/>
        </w:rPr>
      </w:pPr>
      <w:r w:rsidRPr="00C82B21">
        <w:rPr>
          <w:b/>
          <w:color w:val="7030A0"/>
          <w:u w:val="single"/>
        </w:rPr>
        <w:t>Commuting Rule</w:t>
      </w:r>
      <w:r w:rsidRPr="00C82B21">
        <w:rPr>
          <w:b/>
          <w:color w:val="7030A0"/>
        </w:rPr>
        <w:t>:  $1.50 per mile driven one way (</w:t>
      </w:r>
      <w:proofErr w:type="spellStart"/>
      <w:r w:rsidRPr="00C82B21">
        <w:rPr>
          <w:b/>
          <w:color w:val="7030A0"/>
        </w:rPr>
        <w:t>ie</w:t>
      </w:r>
      <w:proofErr w:type="spellEnd"/>
      <w:r w:rsidRPr="00C82B21">
        <w:rPr>
          <w:b/>
          <w:color w:val="7030A0"/>
        </w:rPr>
        <w:t xml:space="preserve"> home to work or work to home, but not both.)  You must also establish a written policy under which the employee is not allowed to use the vehicle for personal purposes other than for commuting or de minimis personal use (personal errand on the way between work and home.)</w:t>
      </w:r>
    </w:p>
    <w:p w:rsidR="0081727F" w:rsidRDefault="0081727F"/>
    <w:p w:rsidR="0081727F" w:rsidRDefault="0081727F">
      <w:pPr>
        <w:rPr>
          <w:i/>
        </w:rPr>
      </w:pPr>
      <w:r w:rsidRPr="0081727F">
        <w:rPr>
          <w:i/>
        </w:rPr>
        <w:t xml:space="preserve">Disclaimer:  Information on the referenced examples was obtained from Publication 15-B, The Employer’s Tax Guide to Fringe Benefits, available at </w:t>
      </w:r>
      <w:hyperlink r:id="rId6" w:history="1">
        <w:r w:rsidRPr="0081727F">
          <w:rPr>
            <w:rStyle w:val="Hyperlink"/>
            <w:i/>
          </w:rPr>
          <w:t>www.irs.gov</w:t>
        </w:r>
      </w:hyperlink>
      <w:r w:rsidRPr="0081727F">
        <w:rPr>
          <w:i/>
        </w:rPr>
        <w:t>.  It is recommended that district’s utilize Publication 15-B for complete information, particularly when a questionable expense arises.</w:t>
      </w:r>
    </w:p>
    <w:p w:rsidR="00523622" w:rsidRDefault="00523622">
      <w:pPr>
        <w:rPr>
          <w:i/>
        </w:rPr>
      </w:pPr>
    </w:p>
    <w:p w:rsidR="0081727F" w:rsidRDefault="0081727F">
      <w:pPr>
        <w:rPr>
          <w:i/>
        </w:rPr>
      </w:pPr>
    </w:p>
    <w:p w:rsidR="0081727F" w:rsidRDefault="0081727F" w:rsidP="0081727F">
      <w:pPr>
        <w:pStyle w:val="Heading2"/>
      </w:pPr>
      <w:r>
        <w:t>Reference:</w:t>
      </w:r>
    </w:p>
    <w:p w:rsidR="0081727F" w:rsidRDefault="0081727F">
      <w:pPr>
        <w:rPr>
          <w:b/>
        </w:rPr>
      </w:pPr>
    </w:p>
    <w:p w:rsidR="0081727F" w:rsidRPr="0081727F" w:rsidRDefault="0081727F">
      <w:pPr>
        <w:rPr>
          <w:b/>
          <w:color w:val="7030A0"/>
        </w:rPr>
      </w:pPr>
      <w:r>
        <w:rPr>
          <w:b/>
        </w:rPr>
        <w:t xml:space="preserve">Publication 15-B, The Employer’s Tax Guide to Fringe Benefits.  Found at: </w:t>
      </w:r>
      <w:hyperlink r:id="rId7" w:history="1">
        <w:r w:rsidRPr="00CD079A">
          <w:rPr>
            <w:rStyle w:val="Hyperlink"/>
            <w:b/>
          </w:rPr>
          <w:t>http://www.irs.gov/pub/irs-pdf/p15b.pdf</w:t>
        </w:r>
      </w:hyperlink>
      <w:r w:rsidR="000B416C">
        <w:rPr>
          <w:b/>
        </w:rPr>
        <w:t>.   Last revised 12/04/2013.</w:t>
      </w:r>
    </w:p>
    <w:sectPr w:rsidR="0081727F" w:rsidRPr="0081727F" w:rsidSect="00FF61C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276" w:rsidRDefault="00607276" w:rsidP="0081727F">
      <w:r>
        <w:separator/>
      </w:r>
    </w:p>
  </w:endnote>
  <w:endnote w:type="continuationSeparator" w:id="0">
    <w:p w:rsidR="00607276" w:rsidRDefault="00607276" w:rsidP="0081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7F" w:rsidRDefault="008D6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2DD" w:rsidRPr="0081727F" w:rsidRDefault="00FF02DD">
    <w:pPr>
      <w:pStyle w:val="Footer"/>
      <w:pBdr>
        <w:top w:val="thinThickSmallGap" w:sz="24" w:space="1" w:color="622423" w:themeColor="accent2" w:themeShade="7F"/>
      </w:pBdr>
      <w:rPr>
        <w:rFonts w:asciiTheme="majorHAnsi" w:eastAsiaTheme="majorEastAsia" w:hAnsiTheme="majorHAnsi" w:cstheme="majorBidi"/>
        <w:sz w:val="16"/>
        <w:szCs w:val="16"/>
      </w:rPr>
    </w:pPr>
    <w:r w:rsidRPr="0081727F">
      <w:rPr>
        <w:rFonts w:asciiTheme="majorHAnsi" w:eastAsiaTheme="majorEastAsia" w:hAnsiTheme="majorHAnsi" w:cstheme="majorBidi"/>
        <w:sz w:val="16"/>
        <w:szCs w:val="16"/>
      </w:rPr>
      <w:t>Common Taxable &amp; Non Taxable Fringe Benefits</w:t>
    </w:r>
  </w:p>
  <w:p w:rsidR="00FF02DD" w:rsidRPr="0081727F" w:rsidRDefault="008D647F">
    <w:pPr>
      <w:pStyle w:val="Footer"/>
      <w:pBdr>
        <w:top w:val="thinThickSmallGap" w:sz="24" w:space="1" w:color="622423" w:themeColor="accent2" w:themeShade="7F"/>
      </w:pBdr>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April 2021-IRS Publication </w:t>
    </w:r>
    <w:r>
      <w:rPr>
        <w:rFonts w:asciiTheme="majorHAnsi" w:eastAsiaTheme="majorEastAsia" w:hAnsiTheme="majorHAnsi" w:cstheme="majorBidi"/>
        <w:sz w:val="16"/>
        <w:szCs w:val="16"/>
      </w:rPr>
      <w:t>15-b</w:t>
    </w:r>
    <w:bookmarkStart w:id="0" w:name="_GoBack"/>
    <w:bookmarkEnd w:id="0"/>
    <w:r w:rsidR="00FF02DD" w:rsidRPr="0081727F">
      <w:rPr>
        <w:rFonts w:asciiTheme="majorHAnsi" w:eastAsiaTheme="majorEastAsia" w:hAnsiTheme="majorHAnsi" w:cstheme="majorBidi"/>
        <w:sz w:val="16"/>
        <w:szCs w:val="16"/>
      </w:rPr>
      <w:ptab w:relativeTo="margin" w:alignment="right" w:leader="none"/>
    </w:r>
    <w:r w:rsidR="00FF02DD" w:rsidRPr="0081727F">
      <w:rPr>
        <w:rFonts w:asciiTheme="majorHAnsi" w:eastAsiaTheme="majorEastAsia" w:hAnsiTheme="majorHAnsi" w:cstheme="majorBidi"/>
        <w:sz w:val="16"/>
        <w:szCs w:val="16"/>
      </w:rPr>
      <w:t xml:space="preserve">Page </w:t>
    </w:r>
    <w:r w:rsidR="00FF02DD" w:rsidRPr="0081727F">
      <w:rPr>
        <w:rFonts w:eastAsiaTheme="minorEastAsia"/>
        <w:sz w:val="16"/>
        <w:szCs w:val="16"/>
      </w:rPr>
      <w:fldChar w:fldCharType="begin"/>
    </w:r>
    <w:r w:rsidR="00FF02DD" w:rsidRPr="0081727F">
      <w:rPr>
        <w:sz w:val="16"/>
        <w:szCs w:val="16"/>
      </w:rPr>
      <w:instrText xml:space="preserve"> PAGE   \* MERGEFORMAT </w:instrText>
    </w:r>
    <w:r w:rsidR="00FF02DD" w:rsidRPr="0081727F">
      <w:rPr>
        <w:rFonts w:eastAsiaTheme="minorEastAsia"/>
        <w:sz w:val="16"/>
        <w:szCs w:val="16"/>
      </w:rPr>
      <w:fldChar w:fldCharType="separate"/>
    </w:r>
    <w:r w:rsidR="001E1D99" w:rsidRPr="001E1D99">
      <w:rPr>
        <w:rFonts w:asciiTheme="majorHAnsi" w:eastAsiaTheme="majorEastAsia" w:hAnsiTheme="majorHAnsi" w:cstheme="majorBidi"/>
        <w:noProof/>
        <w:sz w:val="16"/>
        <w:szCs w:val="16"/>
      </w:rPr>
      <w:t>1</w:t>
    </w:r>
    <w:r w:rsidR="00FF02DD" w:rsidRPr="0081727F">
      <w:rPr>
        <w:rFonts w:asciiTheme="majorHAnsi" w:eastAsiaTheme="majorEastAsia" w:hAnsiTheme="majorHAnsi" w:cstheme="majorBidi"/>
        <w:noProof/>
        <w:sz w:val="16"/>
        <w:szCs w:val="16"/>
      </w:rPr>
      <w:fldChar w:fldCharType="end"/>
    </w:r>
  </w:p>
  <w:p w:rsidR="00FF02DD" w:rsidRDefault="00FF0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7F" w:rsidRDefault="008D6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276" w:rsidRDefault="00607276" w:rsidP="0081727F">
      <w:r>
        <w:separator/>
      </w:r>
    </w:p>
  </w:footnote>
  <w:footnote w:type="continuationSeparator" w:id="0">
    <w:p w:rsidR="00607276" w:rsidRDefault="00607276" w:rsidP="0081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7F" w:rsidRDefault="008D6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7F" w:rsidRDefault="008D6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47F" w:rsidRDefault="008D6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1C7"/>
    <w:rsid w:val="000B416C"/>
    <w:rsid w:val="001E1D99"/>
    <w:rsid w:val="002268D9"/>
    <w:rsid w:val="00392810"/>
    <w:rsid w:val="00486587"/>
    <w:rsid w:val="005204BB"/>
    <w:rsid w:val="00523622"/>
    <w:rsid w:val="00530CEC"/>
    <w:rsid w:val="00552F12"/>
    <w:rsid w:val="00571E97"/>
    <w:rsid w:val="00607276"/>
    <w:rsid w:val="00681D98"/>
    <w:rsid w:val="007A10ED"/>
    <w:rsid w:val="0081727F"/>
    <w:rsid w:val="00832821"/>
    <w:rsid w:val="008A3083"/>
    <w:rsid w:val="008D647F"/>
    <w:rsid w:val="00943A9F"/>
    <w:rsid w:val="00A41AA5"/>
    <w:rsid w:val="00AF7DA0"/>
    <w:rsid w:val="00C82B21"/>
    <w:rsid w:val="00C87811"/>
    <w:rsid w:val="00D10FC9"/>
    <w:rsid w:val="00FF02DD"/>
    <w:rsid w:val="00FF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39AFB"/>
  <w15:docId w15:val="{A55F11A3-2090-48AF-8113-6A9507B9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360" w:righ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72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1727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27F"/>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1727F"/>
    <w:rPr>
      <w:color w:val="0000FF" w:themeColor="hyperlink"/>
      <w:u w:val="single"/>
    </w:rPr>
  </w:style>
  <w:style w:type="character" w:customStyle="1" w:styleId="Heading2Char">
    <w:name w:val="Heading 2 Char"/>
    <w:basedOn w:val="DefaultParagraphFont"/>
    <w:link w:val="Heading2"/>
    <w:uiPriority w:val="9"/>
    <w:rsid w:val="0081727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1727F"/>
    <w:pPr>
      <w:tabs>
        <w:tab w:val="center" w:pos="4680"/>
        <w:tab w:val="right" w:pos="9360"/>
      </w:tabs>
    </w:pPr>
  </w:style>
  <w:style w:type="character" w:customStyle="1" w:styleId="HeaderChar">
    <w:name w:val="Header Char"/>
    <w:basedOn w:val="DefaultParagraphFont"/>
    <w:link w:val="Header"/>
    <w:uiPriority w:val="99"/>
    <w:rsid w:val="0081727F"/>
  </w:style>
  <w:style w:type="paragraph" w:styleId="Footer">
    <w:name w:val="footer"/>
    <w:basedOn w:val="Normal"/>
    <w:link w:val="FooterChar"/>
    <w:uiPriority w:val="99"/>
    <w:unhideWhenUsed/>
    <w:rsid w:val="0081727F"/>
    <w:pPr>
      <w:tabs>
        <w:tab w:val="center" w:pos="4680"/>
        <w:tab w:val="right" w:pos="9360"/>
      </w:tabs>
    </w:pPr>
  </w:style>
  <w:style w:type="character" w:customStyle="1" w:styleId="FooterChar">
    <w:name w:val="Footer Char"/>
    <w:basedOn w:val="DefaultParagraphFont"/>
    <w:link w:val="Footer"/>
    <w:uiPriority w:val="99"/>
    <w:rsid w:val="0081727F"/>
  </w:style>
  <w:style w:type="paragraph" w:styleId="BalloonText">
    <w:name w:val="Balloon Text"/>
    <w:basedOn w:val="Normal"/>
    <w:link w:val="BalloonTextChar"/>
    <w:uiPriority w:val="99"/>
    <w:semiHidden/>
    <w:unhideWhenUsed/>
    <w:rsid w:val="0081727F"/>
    <w:rPr>
      <w:rFonts w:ascii="Tahoma" w:hAnsi="Tahoma" w:cs="Tahoma"/>
      <w:sz w:val="16"/>
      <w:szCs w:val="16"/>
    </w:rPr>
  </w:style>
  <w:style w:type="character" w:customStyle="1" w:styleId="BalloonTextChar">
    <w:name w:val="Balloon Text Char"/>
    <w:basedOn w:val="DefaultParagraphFont"/>
    <w:link w:val="BalloonText"/>
    <w:uiPriority w:val="99"/>
    <w:semiHidden/>
    <w:rsid w:val="00817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irs.gov/pub/irs-pdf/p15b.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s.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Tandy Cox</dc:creator>
  <cp:lastModifiedBy>Kimberly Stokes</cp:lastModifiedBy>
  <cp:revision>8</cp:revision>
  <cp:lastPrinted>2014-01-06T21:15:00Z</cp:lastPrinted>
  <dcterms:created xsi:type="dcterms:W3CDTF">2013-12-19T15:05:00Z</dcterms:created>
  <dcterms:modified xsi:type="dcterms:W3CDTF">2021-04-29T17:05:00Z</dcterms:modified>
</cp:coreProperties>
</file>